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b/>
          <w:bCs/>
          <w:color w:val="1A0DAB"/>
          <w:lang w:eastAsia="ru-RU"/>
        </w:rPr>
      </w:pPr>
      <w:r w:rsidRPr="008274F6">
        <w:rPr>
          <w:rFonts w:ascii="Times New Roman" w:eastAsia="Times New Roman" w:hAnsi="Times New Roman" w:cs="Times New Roman"/>
          <w:b/>
          <w:bCs/>
          <w:color w:val="1A0DAB"/>
          <w:lang w:eastAsia="ru-RU"/>
        </w:rPr>
        <w:fldChar w:fldCharType="begin"/>
      </w:r>
      <w:r w:rsidRPr="008274F6">
        <w:rPr>
          <w:rFonts w:ascii="Times New Roman" w:eastAsia="Times New Roman" w:hAnsi="Times New Roman" w:cs="Times New Roman"/>
          <w:b/>
          <w:bCs/>
          <w:color w:val="1A0DAB"/>
          <w:lang w:eastAsia="ru-RU"/>
        </w:rPr>
        <w:instrText xml:space="preserve"> HYPERLINK "https://www.consultant.ru/document/cons_doc_LAW_41502/" </w:instrText>
      </w:r>
      <w:r w:rsidRPr="008274F6">
        <w:rPr>
          <w:rFonts w:ascii="Times New Roman" w:eastAsia="Times New Roman" w:hAnsi="Times New Roman" w:cs="Times New Roman"/>
          <w:b/>
          <w:bCs/>
          <w:color w:val="1A0DAB"/>
          <w:lang w:eastAsia="ru-RU"/>
        </w:rPr>
        <w:fldChar w:fldCharType="separate"/>
      </w:r>
      <w:r w:rsidRPr="008274F6">
        <w:rPr>
          <w:rFonts w:ascii="Times New Roman" w:eastAsia="Times New Roman" w:hAnsi="Times New Roman" w:cs="Times New Roman"/>
          <w:b/>
          <w:bCs/>
          <w:color w:val="1A0DAB"/>
          <w:lang w:eastAsia="ru-RU"/>
        </w:rPr>
        <w:t>Федеральный закон от 26.03.2003 N 35-ФЗ (ред. от 02.11.2023) "Об электроэнергетике"</w:t>
      </w:r>
      <w:r w:rsidRPr="008274F6">
        <w:rPr>
          <w:rFonts w:ascii="Times New Roman" w:eastAsia="Times New Roman" w:hAnsi="Times New Roman" w:cs="Times New Roman"/>
          <w:b/>
          <w:bCs/>
          <w:color w:val="1A0DAB"/>
          <w:lang w:eastAsia="ru-RU"/>
        </w:rPr>
        <w:fldChar w:fldCharType="end"/>
      </w:r>
    </w:p>
    <w:p w:rsidR="008274F6" w:rsidRPr="008274F6" w:rsidRDefault="008274F6" w:rsidP="008274F6">
      <w:pPr>
        <w:shd w:val="clear" w:color="auto" w:fill="FFFFFF"/>
        <w:spacing w:after="0" w:line="240" w:lineRule="auto"/>
        <w:ind w:firstLine="709"/>
        <w:jc w:val="both"/>
        <w:outlineLvl w:val="0"/>
        <w:rPr>
          <w:rFonts w:ascii="Times New Roman" w:eastAsia="Times New Roman" w:hAnsi="Times New Roman" w:cs="Times New Roman"/>
          <w:b/>
          <w:bCs/>
          <w:color w:val="000000"/>
          <w:kern w:val="36"/>
          <w:lang w:eastAsia="ru-RU"/>
        </w:rPr>
      </w:pPr>
      <w:r w:rsidRPr="008274F6">
        <w:rPr>
          <w:rFonts w:ascii="Times New Roman" w:eastAsia="Times New Roman" w:hAnsi="Times New Roman" w:cs="Times New Roman"/>
          <w:b/>
          <w:bCs/>
          <w:color w:val="000000"/>
          <w:kern w:val="36"/>
          <w:lang w:eastAsia="ru-RU"/>
        </w:rPr>
        <w:t>Статья 23.2. Особенности государственного регулирования цен (тарифов) на услуги субъектов естественных монополий в электроэнергетике, платы за технологическое присоединение к электрическим сетям и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828282"/>
          <w:lang w:eastAsia="ru-RU"/>
        </w:rPr>
      </w:pPr>
      <w:r w:rsidRPr="008274F6">
        <w:rPr>
          <w:rFonts w:ascii="Times New Roman" w:eastAsia="Times New Roman" w:hAnsi="Times New Roman" w:cs="Times New Roman"/>
          <w:color w:val="828282"/>
          <w:lang w:eastAsia="ru-RU"/>
        </w:rPr>
        <w:t>(в ред. Федерального </w:t>
      </w:r>
      <w:hyperlink r:id="rId4" w:anchor="dst100028" w:history="1">
        <w:r w:rsidRPr="008274F6">
          <w:rPr>
            <w:rFonts w:ascii="Times New Roman" w:eastAsia="Times New Roman" w:hAnsi="Times New Roman" w:cs="Times New Roman"/>
            <w:color w:val="1A0DAB"/>
            <w:lang w:eastAsia="ru-RU"/>
          </w:rPr>
          <w:t>закона</w:t>
        </w:r>
      </w:hyperlink>
      <w:r w:rsidRPr="008274F6">
        <w:rPr>
          <w:rFonts w:ascii="Times New Roman" w:eastAsia="Times New Roman" w:hAnsi="Times New Roman" w:cs="Times New Roman"/>
          <w:color w:val="828282"/>
          <w:lang w:eastAsia="ru-RU"/>
        </w:rPr>
        <w:t> от 31.07.2020 N 281-ФЗ)</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828282"/>
          <w:lang w:eastAsia="ru-RU"/>
        </w:rPr>
      </w:pPr>
      <w:r w:rsidRPr="008274F6">
        <w:rPr>
          <w:rFonts w:ascii="Times New Roman" w:eastAsia="Times New Roman" w:hAnsi="Times New Roman" w:cs="Times New Roman"/>
          <w:color w:val="828282"/>
          <w:lang w:eastAsia="ru-RU"/>
        </w:rPr>
        <w:t>(см. текст в предыдущей </w:t>
      </w:r>
      <w:hyperlink r:id="rId5" w:history="1">
        <w:r w:rsidRPr="008274F6">
          <w:rPr>
            <w:rFonts w:ascii="Times New Roman" w:eastAsia="Times New Roman" w:hAnsi="Times New Roman" w:cs="Times New Roman"/>
            <w:color w:val="1A0DAB"/>
            <w:lang w:eastAsia="ru-RU"/>
          </w:rPr>
          <w:t>редакции</w:t>
        </w:r>
      </w:hyperlink>
      <w:r w:rsidRPr="008274F6">
        <w:rPr>
          <w:rFonts w:ascii="Times New Roman" w:eastAsia="Times New Roman" w:hAnsi="Times New Roman" w:cs="Times New Roman"/>
          <w:color w:val="828282"/>
          <w:lang w:eastAsia="ru-RU"/>
        </w:rPr>
        <w:t>)</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828282"/>
          <w:lang w:eastAsia="ru-RU"/>
        </w:rPr>
      </w:pPr>
      <w:r w:rsidRPr="008274F6">
        <w:rPr>
          <w:rFonts w:ascii="Times New Roman" w:eastAsia="Times New Roman" w:hAnsi="Times New Roman" w:cs="Times New Roman"/>
          <w:color w:val="828282"/>
          <w:lang w:eastAsia="ru-RU"/>
        </w:rPr>
        <w:t>(введена Федеральным </w:t>
      </w:r>
      <w:hyperlink r:id="rId6" w:anchor="dst100120" w:history="1">
        <w:r w:rsidRPr="008274F6">
          <w:rPr>
            <w:rFonts w:ascii="Times New Roman" w:eastAsia="Times New Roman" w:hAnsi="Times New Roman" w:cs="Times New Roman"/>
            <w:color w:val="1A0DAB"/>
            <w:lang w:eastAsia="ru-RU"/>
          </w:rPr>
          <w:t>законом</w:t>
        </w:r>
      </w:hyperlink>
      <w:r w:rsidRPr="008274F6">
        <w:rPr>
          <w:rFonts w:ascii="Times New Roman" w:eastAsia="Times New Roman" w:hAnsi="Times New Roman" w:cs="Times New Roman"/>
          <w:color w:val="828282"/>
          <w:lang w:eastAsia="ru-RU"/>
        </w:rPr>
        <w:t> от 26.07.2010 N 187-ФЗ)</w:t>
      </w:r>
    </w:p>
    <w:p w:rsidR="008274F6" w:rsidRPr="008274F6" w:rsidRDefault="008274F6" w:rsidP="008274F6">
      <w:pPr>
        <w:shd w:val="clear" w:color="auto" w:fill="F4F3F8"/>
        <w:spacing w:after="0" w:line="240" w:lineRule="auto"/>
        <w:ind w:firstLine="709"/>
        <w:jc w:val="both"/>
        <w:rPr>
          <w:rFonts w:ascii="Times New Roman" w:eastAsia="Times New Roman" w:hAnsi="Times New Roman" w:cs="Times New Roman"/>
          <w:color w:val="392C69"/>
          <w:lang w:eastAsia="ru-RU"/>
        </w:rPr>
      </w:pPr>
      <w:r w:rsidRPr="008274F6">
        <w:rPr>
          <w:rFonts w:ascii="Times New Roman" w:eastAsia="Times New Roman" w:hAnsi="Times New Roman" w:cs="Times New Roman"/>
          <w:color w:val="392C69"/>
          <w:lang w:eastAsia="ru-RU"/>
        </w:rPr>
        <w:t>Перспективы и риски арбитражных споров. Ситуации, связанные со ст. 23.2.</w:t>
      </w:r>
    </w:p>
    <w:p w:rsidR="008274F6" w:rsidRPr="008274F6" w:rsidRDefault="008274F6" w:rsidP="008274F6">
      <w:pPr>
        <w:shd w:val="clear" w:color="auto" w:fill="F4F3F8"/>
        <w:spacing w:after="0" w:line="240" w:lineRule="auto"/>
        <w:ind w:firstLine="709"/>
        <w:jc w:val="both"/>
        <w:rPr>
          <w:rFonts w:ascii="Times New Roman" w:eastAsia="Times New Roman" w:hAnsi="Times New Roman" w:cs="Times New Roman"/>
          <w:color w:val="392C69"/>
          <w:lang w:eastAsia="ru-RU"/>
        </w:rPr>
      </w:pPr>
      <w:r w:rsidRPr="008274F6">
        <w:rPr>
          <w:rFonts w:ascii="Times New Roman" w:eastAsia="Times New Roman" w:hAnsi="Times New Roman" w:cs="Times New Roman"/>
          <w:color w:val="392C69"/>
          <w:lang w:eastAsia="ru-RU"/>
        </w:rPr>
        <w:t>Развернуть</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1. В состав платы за услуги по передаче электрической энергии по единой национальной (общероссийской) электрической сети включаются:</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val="en-US" w:eastAsia="ru-RU"/>
        </w:rPr>
      </w:pPr>
      <w:r w:rsidRPr="008274F6">
        <w:rPr>
          <w:rFonts w:ascii="Times New Roman" w:eastAsia="Times New Roman" w:hAnsi="Times New Roman" w:cs="Times New Roman"/>
          <w:color w:val="000000"/>
          <w:lang w:eastAsia="ru-RU"/>
        </w:rPr>
        <w:t>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1.1. Деятельность по оказанию услуг по передаче электрической энергии осуществляется в условиях естественной монополии и регулируется в соответствии с </w:t>
      </w:r>
      <w:hyperlink r:id="rId7" w:history="1">
        <w:r w:rsidRPr="008274F6">
          <w:rPr>
            <w:rFonts w:ascii="Times New Roman" w:eastAsia="Times New Roman" w:hAnsi="Times New Roman" w:cs="Times New Roman"/>
            <w:color w:val="1A0DAB"/>
            <w:u w:val="single"/>
            <w:lang w:eastAsia="ru-RU"/>
          </w:rPr>
          <w:t>законодательством</w:t>
        </w:r>
      </w:hyperlink>
      <w:r w:rsidRPr="008274F6">
        <w:rPr>
          <w:rFonts w:ascii="Times New Roman" w:eastAsia="Times New Roman" w:hAnsi="Times New Roman" w:cs="Times New Roman"/>
          <w:color w:val="000000"/>
          <w:lang w:eastAsia="ru-RU"/>
        </w:rPr>
        <w:t> о естественных монополиях, настоящим Федеральным законом и другими федеральными законами.</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828282"/>
          <w:lang w:eastAsia="ru-RU"/>
        </w:rPr>
      </w:pPr>
      <w:r w:rsidRPr="008274F6">
        <w:rPr>
          <w:rFonts w:ascii="Times New Roman" w:eastAsia="Times New Roman" w:hAnsi="Times New Roman" w:cs="Times New Roman"/>
          <w:color w:val="828282"/>
          <w:lang w:eastAsia="ru-RU"/>
        </w:rPr>
        <w:t>(п. 1.1 в ред. Федерального </w:t>
      </w:r>
      <w:hyperlink r:id="rId8" w:anchor="dst100046" w:history="1">
        <w:r w:rsidRPr="008274F6">
          <w:rPr>
            <w:rFonts w:ascii="Times New Roman" w:eastAsia="Times New Roman" w:hAnsi="Times New Roman" w:cs="Times New Roman"/>
            <w:color w:val="1A0DAB"/>
            <w:lang w:eastAsia="ru-RU"/>
          </w:rPr>
          <w:t>закона</w:t>
        </w:r>
      </w:hyperlink>
      <w:r w:rsidRPr="008274F6">
        <w:rPr>
          <w:rFonts w:ascii="Times New Roman" w:eastAsia="Times New Roman" w:hAnsi="Times New Roman" w:cs="Times New Roman"/>
          <w:color w:val="828282"/>
          <w:lang w:eastAsia="ru-RU"/>
        </w:rPr>
        <w:t> от 06.11.2013 N 308-ФЗ)</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828282"/>
          <w:lang w:eastAsia="ru-RU"/>
        </w:rPr>
      </w:pPr>
      <w:r w:rsidRPr="008274F6">
        <w:rPr>
          <w:rFonts w:ascii="Times New Roman" w:eastAsia="Times New Roman" w:hAnsi="Times New Roman" w:cs="Times New Roman"/>
          <w:color w:val="828282"/>
          <w:lang w:eastAsia="ru-RU"/>
        </w:rPr>
        <w:t>(см. текст в предыдущей </w:t>
      </w:r>
      <w:hyperlink r:id="rId9" w:history="1">
        <w:r w:rsidRPr="008274F6">
          <w:rPr>
            <w:rFonts w:ascii="Times New Roman" w:eastAsia="Times New Roman" w:hAnsi="Times New Roman" w:cs="Times New Roman"/>
            <w:color w:val="1A0DAB"/>
            <w:lang w:eastAsia="ru-RU"/>
          </w:rPr>
          <w:t>редакции</w:t>
        </w:r>
      </w:hyperlink>
      <w:r w:rsidRPr="008274F6">
        <w:rPr>
          <w:rFonts w:ascii="Times New Roman" w:eastAsia="Times New Roman" w:hAnsi="Times New Roman" w:cs="Times New Roman"/>
          <w:color w:val="828282"/>
          <w:lang w:eastAsia="ru-RU"/>
        </w:rPr>
        <w:t>)</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r:id="rId10" w:anchor="dst101252" w:history="1">
        <w:r w:rsidRPr="008274F6">
          <w:rPr>
            <w:rFonts w:ascii="Times New Roman" w:eastAsia="Times New Roman" w:hAnsi="Times New Roman" w:cs="Times New Roman"/>
            <w:color w:val="1A0DAB"/>
            <w:u w:val="single"/>
            <w:lang w:eastAsia="ru-RU"/>
          </w:rPr>
          <w:t>пунктами 7</w:t>
        </w:r>
      </w:hyperlink>
      <w:r w:rsidRPr="008274F6">
        <w:rPr>
          <w:rFonts w:ascii="Times New Roman" w:eastAsia="Times New Roman" w:hAnsi="Times New Roman" w:cs="Times New Roman"/>
          <w:color w:val="000000"/>
          <w:lang w:eastAsia="ru-RU"/>
        </w:rPr>
        <w:t> и </w:t>
      </w:r>
      <w:hyperlink r:id="rId11" w:anchor="dst101253" w:history="1">
        <w:r w:rsidRPr="008274F6">
          <w:rPr>
            <w:rFonts w:ascii="Times New Roman" w:eastAsia="Times New Roman" w:hAnsi="Times New Roman" w:cs="Times New Roman"/>
            <w:color w:val="1A0DAB"/>
            <w:u w:val="single"/>
            <w:lang w:eastAsia="ru-RU"/>
          </w:rPr>
          <w:t>8 статьи 8</w:t>
        </w:r>
      </w:hyperlink>
      <w:r w:rsidRPr="008274F6">
        <w:rPr>
          <w:rFonts w:ascii="Times New Roman" w:eastAsia="Times New Roman" w:hAnsi="Times New Roman" w:cs="Times New Roman"/>
          <w:color w:val="000000"/>
          <w:lang w:eastAsia="ru-RU"/>
        </w:rPr>
        <w:t> настоящего Федерального закона.</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r:id="rId12" w:anchor="dst101252" w:history="1">
        <w:r w:rsidRPr="008274F6">
          <w:rPr>
            <w:rFonts w:ascii="Times New Roman" w:eastAsia="Times New Roman" w:hAnsi="Times New Roman" w:cs="Times New Roman"/>
            <w:color w:val="1A0DAB"/>
            <w:u w:val="single"/>
            <w:lang w:eastAsia="ru-RU"/>
          </w:rPr>
          <w:t>пунктами 7</w:t>
        </w:r>
      </w:hyperlink>
      <w:r w:rsidRPr="008274F6">
        <w:rPr>
          <w:rFonts w:ascii="Times New Roman" w:eastAsia="Times New Roman" w:hAnsi="Times New Roman" w:cs="Times New Roman"/>
          <w:color w:val="000000"/>
          <w:lang w:eastAsia="ru-RU"/>
        </w:rPr>
        <w:t> и </w:t>
      </w:r>
      <w:hyperlink r:id="rId13" w:anchor="dst101253" w:history="1">
        <w:r w:rsidRPr="008274F6">
          <w:rPr>
            <w:rFonts w:ascii="Times New Roman" w:eastAsia="Times New Roman" w:hAnsi="Times New Roman" w:cs="Times New Roman"/>
            <w:color w:val="1A0DAB"/>
            <w:u w:val="single"/>
            <w:lang w:eastAsia="ru-RU"/>
          </w:rPr>
          <w:t>8 статьи 8</w:t>
        </w:r>
      </w:hyperlink>
      <w:r w:rsidRPr="008274F6">
        <w:rPr>
          <w:rFonts w:ascii="Times New Roman" w:eastAsia="Times New Roman" w:hAnsi="Times New Roman" w:cs="Times New Roman"/>
          <w:color w:val="000000"/>
          <w:lang w:eastAsia="ru-RU"/>
        </w:rPr>
        <w:t>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Требования </w:t>
      </w:r>
      <w:hyperlink r:id="rId14" w:anchor="dst101268" w:history="1">
        <w:r w:rsidRPr="008274F6">
          <w:rPr>
            <w:rFonts w:ascii="Times New Roman" w:eastAsia="Times New Roman" w:hAnsi="Times New Roman" w:cs="Times New Roman"/>
            <w:color w:val="1A0DAB"/>
            <w:u w:val="single"/>
            <w:lang w:eastAsia="ru-RU"/>
          </w:rPr>
          <w:t>абзацев первого</w:t>
        </w:r>
      </w:hyperlink>
      <w:r w:rsidRPr="008274F6">
        <w:rPr>
          <w:rFonts w:ascii="Times New Roman" w:eastAsia="Times New Roman" w:hAnsi="Times New Roman" w:cs="Times New Roman"/>
          <w:color w:val="000000"/>
          <w:lang w:eastAsia="ru-RU"/>
        </w:rPr>
        <w:t> и </w:t>
      </w:r>
      <w:hyperlink r:id="rId15" w:anchor="dst101269" w:history="1">
        <w:r w:rsidRPr="008274F6">
          <w:rPr>
            <w:rFonts w:ascii="Times New Roman" w:eastAsia="Times New Roman" w:hAnsi="Times New Roman" w:cs="Times New Roman"/>
            <w:color w:val="1A0DAB"/>
            <w:u w:val="single"/>
            <w:lang w:eastAsia="ru-RU"/>
          </w:rPr>
          <w:t>второго</w:t>
        </w:r>
      </w:hyperlink>
      <w:r w:rsidRPr="008274F6">
        <w:rPr>
          <w:rFonts w:ascii="Times New Roman" w:eastAsia="Times New Roman" w:hAnsi="Times New Roman" w:cs="Times New Roman"/>
          <w:color w:val="000000"/>
          <w:lang w:eastAsia="ru-RU"/>
        </w:rPr>
        <w:t>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r:id="rId16" w:anchor="dst101253" w:history="1">
        <w:r w:rsidRPr="008274F6">
          <w:rPr>
            <w:rFonts w:ascii="Times New Roman" w:eastAsia="Times New Roman" w:hAnsi="Times New Roman" w:cs="Times New Roman"/>
            <w:color w:val="1A0DAB"/>
            <w:u w:val="single"/>
            <w:lang w:eastAsia="ru-RU"/>
          </w:rPr>
          <w:t>пунктом 8 статьи 8</w:t>
        </w:r>
      </w:hyperlink>
      <w:r w:rsidRPr="008274F6">
        <w:rPr>
          <w:rFonts w:ascii="Times New Roman" w:eastAsia="Times New Roman" w:hAnsi="Times New Roman" w:cs="Times New Roman"/>
          <w:color w:val="000000"/>
          <w:lang w:eastAsia="ru-RU"/>
        </w:rPr>
        <w:t> настоящего Федерального закона и находящихся на территориях Амурской области и Еврейской автономной области.</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r:id="rId17" w:anchor="dst101253" w:history="1">
        <w:r w:rsidRPr="008274F6">
          <w:rPr>
            <w:rFonts w:ascii="Times New Roman" w:eastAsia="Times New Roman" w:hAnsi="Times New Roman" w:cs="Times New Roman"/>
            <w:color w:val="1A0DAB"/>
            <w:u w:val="single"/>
            <w:lang w:eastAsia="ru-RU"/>
          </w:rPr>
          <w:t>пунктом 8 статьи 8</w:t>
        </w:r>
      </w:hyperlink>
      <w:r w:rsidRPr="008274F6">
        <w:rPr>
          <w:rFonts w:ascii="Times New Roman" w:eastAsia="Times New Roman" w:hAnsi="Times New Roman" w:cs="Times New Roman"/>
          <w:color w:val="000000"/>
          <w:lang w:eastAsia="ru-RU"/>
        </w:rPr>
        <w:t> настоящего Федерального закона и находящихся на территориях Амурской области и Еврейской автономной области, определяются в соответствии с </w:t>
      </w:r>
      <w:hyperlink r:id="rId18" w:anchor="dst100047" w:history="1">
        <w:r w:rsidRPr="008274F6">
          <w:rPr>
            <w:rFonts w:ascii="Times New Roman" w:eastAsia="Times New Roman" w:hAnsi="Times New Roman" w:cs="Times New Roman"/>
            <w:color w:val="1A0DAB"/>
            <w:u w:val="single"/>
            <w:lang w:eastAsia="ru-RU"/>
          </w:rPr>
          <w:t>основами</w:t>
        </w:r>
      </w:hyperlink>
      <w:r w:rsidRPr="008274F6">
        <w:rPr>
          <w:rFonts w:ascii="Times New Roman" w:eastAsia="Times New Roman" w:hAnsi="Times New Roman" w:cs="Times New Roman"/>
          <w:color w:val="000000"/>
          <w:lang w:eastAsia="ru-RU"/>
        </w:rPr>
        <w:t> ценообразования в области регулируемых цен (тарифов) в электроэнергетике.</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 xml:space="preserve">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w:t>
      </w:r>
      <w:r w:rsidRPr="008274F6">
        <w:rPr>
          <w:rFonts w:ascii="Times New Roman" w:eastAsia="Times New Roman" w:hAnsi="Times New Roman" w:cs="Times New Roman"/>
          <w:color w:val="000000"/>
          <w:lang w:eastAsia="ru-RU"/>
        </w:rPr>
        <w:lastRenderedPageBreak/>
        <w:t>автономном округе - Югре 116 рублей за тысячу киловатт-часов, Ямало-Ненецком автономном округе 116 рублей за тысячу киловатт-часов.</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828282"/>
          <w:lang w:eastAsia="ru-RU"/>
        </w:rPr>
      </w:pPr>
      <w:r w:rsidRPr="008274F6">
        <w:rPr>
          <w:rFonts w:ascii="Times New Roman" w:eastAsia="Times New Roman" w:hAnsi="Times New Roman" w:cs="Times New Roman"/>
          <w:color w:val="828282"/>
          <w:lang w:eastAsia="ru-RU"/>
        </w:rPr>
        <w:t>(п. 1.2 введен Федеральным </w:t>
      </w:r>
      <w:hyperlink r:id="rId19" w:anchor="dst100048" w:history="1">
        <w:r w:rsidRPr="008274F6">
          <w:rPr>
            <w:rFonts w:ascii="Times New Roman" w:eastAsia="Times New Roman" w:hAnsi="Times New Roman" w:cs="Times New Roman"/>
            <w:color w:val="1A0DAB"/>
            <w:lang w:eastAsia="ru-RU"/>
          </w:rPr>
          <w:t>законом</w:t>
        </w:r>
      </w:hyperlink>
      <w:r w:rsidRPr="008274F6">
        <w:rPr>
          <w:rFonts w:ascii="Times New Roman" w:eastAsia="Times New Roman" w:hAnsi="Times New Roman" w:cs="Times New Roman"/>
          <w:color w:val="828282"/>
          <w:lang w:eastAsia="ru-RU"/>
        </w:rPr>
        <w:t> от 06.11.2013 N 308-ФЗ)</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1.3. Ставка перекрестного субсидирования в Республике Бурятия и Забайкальском крае снижается:</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с 1 июля 2015 года не менее чем на четыре процента от ее размера по состоянию на 1 января 2014 года;</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с 1 июля 2016 года не менее чем на девять процентов от ее размера по состоянию на 1 января 2014 года.</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перекрестного субсидирования по состоянию на 1 января 2014 года.</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Ставка перекрестного субсидирования снижается в субъектах Российской Федерации, в которых в соответствии с </w:t>
      </w:r>
      <w:hyperlink r:id="rId20" w:anchor="dst101256" w:history="1">
        <w:r w:rsidRPr="008274F6">
          <w:rPr>
            <w:rFonts w:ascii="Times New Roman" w:eastAsia="Times New Roman" w:hAnsi="Times New Roman" w:cs="Times New Roman"/>
            <w:color w:val="1A0DAB"/>
            <w:u w:val="single"/>
            <w:lang w:eastAsia="ru-RU"/>
          </w:rPr>
          <w:t>абзацем третьим пункта 9 статьи 8</w:t>
        </w:r>
      </w:hyperlink>
      <w:r w:rsidRPr="008274F6">
        <w:rPr>
          <w:rFonts w:ascii="Times New Roman" w:eastAsia="Times New Roman" w:hAnsi="Times New Roman" w:cs="Times New Roman"/>
          <w:color w:val="000000"/>
          <w:lang w:eastAsia="ru-RU"/>
        </w:rPr>
        <w:t> настоящего Федерального закона допускается аренда объектов электросетевого хозяйства и (или) их частей до 1 июля 2017 года:</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с 1 июля 2015 года не менее чем на 34 процента от ее размера по состоянию на 1 января 2014 года;</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с 1 июля 2016 года не менее чем на 67 процентов от ее размера по состоянию на 1 января 2014 года.</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828282"/>
          <w:lang w:eastAsia="ru-RU"/>
        </w:rPr>
      </w:pPr>
      <w:r w:rsidRPr="008274F6">
        <w:rPr>
          <w:rFonts w:ascii="Times New Roman" w:eastAsia="Times New Roman" w:hAnsi="Times New Roman" w:cs="Times New Roman"/>
          <w:color w:val="828282"/>
          <w:lang w:eastAsia="ru-RU"/>
        </w:rPr>
        <w:t>(п. 1.3 введен Федеральным </w:t>
      </w:r>
      <w:hyperlink r:id="rId21" w:anchor="dst100055" w:history="1">
        <w:r w:rsidRPr="008274F6">
          <w:rPr>
            <w:rFonts w:ascii="Times New Roman" w:eastAsia="Times New Roman" w:hAnsi="Times New Roman" w:cs="Times New Roman"/>
            <w:color w:val="1A0DAB"/>
            <w:lang w:eastAsia="ru-RU"/>
          </w:rPr>
          <w:t>законом</w:t>
        </w:r>
      </w:hyperlink>
      <w:r w:rsidRPr="008274F6">
        <w:rPr>
          <w:rFonts w:ascii="Times New Roman" w:eastAsia="Times New Roman" w:hAnsi="Times New Roman" w:cs="Times New Roman"/>
          <w:color w:val="828282"/>
          <w:lang w:eastAsia="ru-RU"/>
        </w:rPr>
        <w:t> от 06.11.2013 N 308-ФЗ)</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1.4. 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hyperlink r:id="rId22" w:anchor="dst101268" w:history="1">
        <w:r w:rsidRPr="008274F6">
          <w:rPr>
            <w:rFonts w:ascii="Times New Roman" w:eastAsia="Times New Roman" w:hAnsi="Times New Roman" w:cs="Times New Roman"/>
            <w:color w:val="1A0DAB"/>
            <w:u w:val="single"/>
            <w:lang w:eastAsia="ru-RU"/>
          </w:rPr>
          <w:t>пунктами 1.2</w:t>
        </w:r>
      </w:hyperlink>
      <w:r w:rsidRPr="008274F6">
        <w:rPr>
          <w:rFonts w:ascii="Times New Roman" w:eastAsia="Times New Roman" w:hAnsi="Times New Roman" w:cs="Times New Roman"/>
          <w:color w:val="000000"/>
          <w:lang w:eastAsia="ru-RU"/>
        </w:rPr>
        <w:t> и </w:t>
      </w:r>
      <w:hyperlink r:id="rId23" w:anchor="dst101274" w:history="1">
        <w:r w:rsidRPr="008274F6">
          <w:rPr>
            <w:rFonts w:ascii="Times New Roman" w:eastAsia="Times New Roman" w:hAnsi="Times New Roman" w:cs="Times New Roman"/>
            <w:color w:val="1A0DAB"/>
            <w:u w:val="single"/>
            <w:lang w:eastAsia="ru-RU"/>
          </w:rPr>
          <w:t>1.3</w:t>
        </w:r>
      </w:hyperlink>
      <w:r w:rsidRPr="008274F6">
        <w:rPr>
          <w:rFonts w:ascii="Times New Roman" w:eastAsia="Times New Roman" w:hAnsi="Times New Roman" w:cs="Times New Roman"/>
          <w:color w:val="000000"/>
          <w:lang w:eastAsia="ru-RU"/>
        </w:rPr>
        <w:t> настоящей статьи) могут быть увеличены с 1 января 2014 года не более чем на семь процентов от их уровня по состоянию на 31 декабря 2013 года.</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w:t>
      </w:r>
      <w:hyperlink r:id="rId24" w:anchor="dst100047" w:history="1">
        <w:r w:rsidRPr="008274F6">
          <w:rPr>
            <w:rFonts w:ascii="Times New Roman" w:eastAsia="Times New Roman" w:hAnsi="Times New Roman" w:cs="Times New Roman"/>
            <w:color w:val="1A0DAB"/>
            <w:u w:val="single"/>
            <w:lang w:eastAsia="ru-RU"/>
          </w:rPr>
          <w:t>основами</w:t>
        </w:r>
      </w:hyperlink>
      <w:r w:rsidRPr="008274F6">
        <w:rPr>
          <w:rFonts w:ascii="Times New Roman" w:eastAsia="Times New Roman" w:hAnsi="Times New Roman" w:cs="Times New Roman"/>
          <w:color w:val="000000"/>
          <w:lang w:eastAsia="ru-RU"/>
        </w:rPr>
        <w:t> ценообразования в области регулируемых цен (тарифов) в электроэнергетике.</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828282"/>
          <w:lang w:eastAsia="ru-RU"/>
        </w:rPr>
      </w:pPr>
      <w:r w:rsidRPr="008274F6">
        <w:rPr>
          <w:rFonts w:ascii="Times New Roman" w:eastAsia="Times New Roman" w:hAnsi="Times New Roman" w:cs="Times New Roman"/>
          <w:color w:val="828282"/>
          <w:lang w:eastAsia="ru-RU"/>
        </w:rPr>
        <w:t>(п. 1.4 введен Федеральным </w:t>
      </w:r>
      <w:hyperlink r:id="rId25" w:anchor="dst100064" w:history="1">
        <w:r w:rsidRPr="008274F6">
          <w:rPr>
            <w:rFonts w:ascii="Times New Roman" w:eastAsia="Times New Roman" w:hAnsi="Times New Roman" w:cs="Times New Roman"/>
            <w:color w:val="1A0DAB"/>
            <w:lang w:eastAsia="ru-RU"/>
          </w:rPr>
          <w:t>законом</w:t>
        </w:r>
      </w:hyperlink>
      <w:r w:rsidRPr="008274F6">
        <w:rPr>
          <w:rFonts w:ascii="Times New Roman" w:eastAsia="Times New Roman" w:hAnsi="Times New Roman" w:cs="Times New Roman"/>
          <w:color w:val="828282"/>
          <w:lang w:eastAsia="ru-RU"/>
        </w:rPr>
        <w:t> от 06.11.2013 N 308-ФЗ)</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2. Плата за технологическое присоединение объектов по производству электрической энергии определяется в </w:t>
      </w:r>
      <w:hyperlink r:id="rId26" w:history="1">
        <w:r w:rsidRPr="008274F6">
          <w:rPr>
            <w:rFonts w:ascii="Times New Roman" w:eastAsia="Times New Roman" w:hAnsi="Times New Roman" w:cs="Times New Roman"/>
            <w:color w:val="1A0DAB"/>
            <w:u w:val="single"/>
            <w:lang w:eastAsia="ru-RU"/>
          </w:rPr>
          <w:t>порядке</w:t>
        </w:r>
      </w:hyperlink>
      <w:r w:rsidRPr="008274F6">
        <w:rPr>
          <w:rFonts w:ascii="Times New Roman" w:eastAsia="Times New Roman" w:hAnsi="Times New Roman" w:cs="Times New Roman"/>
          <w:color w:val="000000"/>
          <w:lang w:eastAsia="ru-RU"/>
        </w:rPr>
        <w:t>,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Плата за технологическое присоединение энергопринимающих устройств и объектов электросетевого хозяйства может устанавливаться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органами исполнительной власти субъектов Российской Федерации в области государственного регулирования тарифов в порядке, установленном Правительством Российской Федерации.</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 xml:space="preserve">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органами исполнительной власти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w:t>
      </w:r>
      <w:r w:rsidRPr="008274F6">
        <w:rPr>
          <w:rFonts w:ascii="Times New Roman" w:eastAsia="Times New Roman" w:hAnsi="Times New Roman" w:cs="Times New Roman"/>
          <w:color w:val="000000"/>
          <w:lang w:eastAsia="ru-RU"/>
        </w:rPr>
        <w:lastRenderedPageBreak/>
        <w:t>соответствии с </w:t>
      </w:r>
      <w:hyperlink r:id="rId27" w:anchor="dst1139" w:history="1">
        <w:r w:rsidRPr="008274F6">
          <w:rPr>
            <w:rFonts w:ascii="Times New Roman" w:eastAsia="Times New Roman" w:hAnsi="Times New Roman" w:cs="Times New Roman"/>
            <w:color w:val="1A0DAB"/>
            <w:u w:val="single"/>
            <w:lang w:eastAsia="ru-RU"/>
          </w:rPr>
          <w:t>основами</w:t>
        </w:r>
      </w:hyperlink>
      <w:r w:rsidRPr="008274F6">
        <w:rPr>
          <w:rFonts w:ascii="Times New Roman" w:eastAsia="Times New Roman" w:hAnsi="Times New Roman" w:cs="Times New Roman"/>
          <w:color w:val="000000"/>
          <w:lang w:eastAsia="ru-RU"/>
        </w:rPr>
        <w:t> ценообразования в области регулируемых цен (тарифов) в электроэнергетике, утвержденными Правительством Российской Федерации.</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Затраты на проведение мероприятий по технологическому присоединению, в том числе расходы сетевой организации на обеспечение коммерческого учета электрической энергии (мощности),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С 1 июля 2024 года положения </w:t>
      </w:r>
      <w:hyperlink r:id="rId28" w:anchor="dst617" w:history="1">
        <w:r w:rsidRPr="008274F6">
          <w:rPr>
            <w:rFonts w:ascii="Times New Roman" w:eastAsia="Times New Roman" w:hAnsi="Times New Roman" w:cs="Times New Roman"/>
            <w:color w:val="1A0DAB"/>
            <w:u w:val="single"/>
            <w:lang w:eastAsia="ru-RU"/>
          </w:rPr>
          <w:t>абзаца шестого</w:t>
        </w:r>
      </w:hyperlink>
      <w:r w:rsidRPr="008274F6">
        <w:rPr>
          <w:rFonts w:ascii="Times New Roman" w:eastAsia="Times New Roman" w:hAnsi="Times New Roman" w:cs="Times New Roman"/>
          <w:color w:val="000000"/>
          <w:lang w:eastAsia="ru-RU"/>
        </w:rPr>
        <w:t> настоящего пункта не применяются при определении размера платы за технологическое присоединение энергопринимающих устройств максимальной мощностью свыше 150 кВт (с учетом мощности ранее присоединенных в данной точке присоединения энергопринимающих устройств) к объектам электросетевого хозяйства сетевых организаций, а также в случае технологического присоединения генерирующих объектов к объектам электросетевого хозяйства территориальных сетевых организаций.</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С 1 октября 2015 года по 30 сентября 2017 года, а также с 1 июля 2022 года по 31 декабря 2022 года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С 1 октября 2017 года по 30 июня 2022 года в состав платы за технологическое присоединение энергопринимающих устройств максимальной мощностью не более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С 1 января 2023 года в состав платы за технологическое присоединение энергопринимающих устройств максимальной мощностью не более 150 кВт в полном объеме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по 31 декабря 2022 года в составе платы за технологическое присоединение энергопринимающих устройств максимальной мощностью не более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Особенности определения размера </w:t>
      </w:r>
      <w:hyperlink r:id="rId29" w:anchor="dst1140" w:history="1">
        <w:r w:rsidRPr="008274F6">
          <w:rPr>
            <w:rFonts w:ascii="Times New Roman" w:eastAsia="Times New Roman" w:hAnsi="Times New Roman" w:cs="Times New Roman"/>
            <w:color w:val="1A0DAB"/>
            <w:u w:val="single"/>
            <w:lang w:eastAsia="ru-RU"/>
          </w:rPr>
          <w:t>платы</w:t>
        </w:r>
      </w:hyperlink>
      <w:r w:rsidRPr="008274F6">
        <w:rPr>
          <w:rFonts w:ascii="Times New Roman" w:eastAsia="Times New Roman" w:hAnsi="Times New Roman" w:cs="Times New Roman"/>
          <w:color w:val="000000"/>
          <w:lang w:eastAsia="ru-RU"/>
        </w:rPr>
        <w:t xml:space="preserve"> за технологическое присоединение объектов </w:t>
      </w:r>
      <w:proofErr w:type="spellStart"/>
      <w:r w:rsidRPr="008274F6">
        <w:rPr>
          <w:rFonts w:ascii="Times New Roman" w:eastAsia="Times New Roman" w:hAnsi="Times New Roman" w:cs="Times New Roman"/>
          <w:color w:val="000000"/>
          <w:lang w:eastAsia="ru-RU"/>
        </w:rPr>
        <w:t>микрогенерации</w:t>
      </w:r>
      <w:proofErr w:type="spellEnd"/>
      <w:r w:rsidRPr="008274F6">
        <w:rPr>
          <w:rFonts w:ascii="Times New Roman" w:eastAsia="Times New Roman" w:hAnsi="Times New Roman" w:cs="Times New Roman"/>
          <w:color w:val="000000"/>
          <w:lang w:eastAsia="ru-RU"/>
        </w:rPr>
        <w:t xml:space="preserve"> и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а также размера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 xml:space="preserve">По решению органа исполнительной власти субъекта Российской Федерации в области государственного регулирования тарифов размер включаемой в состав платы за технологическое присоединение энергопринимающих устройств максимальной мощностью не более 150 кВт (с учетом </w:t>
      </w:r>
      <w:r w:rsidRPr="008274F6">
        <w:rPr>
          <w:rFonts w:ascii="Times New Roman" w:eastAsia="Times New Roman" w:hAnsi="Times New Roman" w:cs="Times New Roman"/>
          <w:color w:val="000000"/>
          <w:lang w:eastAsia="ru-RU"/>
        </w:rPr>
        <w:lastRenderedPageBreak/>
        <w:t>мощности ранее присоединенных в данной точке присоединения энергопринимающих устройств)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может быть уменьшен, в том числе дифференцирован по группам заявителей (энергопринимающих устройств), определяемым Правительством Российской Федерации, при условии компенсации сетевой организации разницы между размером платы, предусмотренной настоящим пунктом, и размером соответствующей платы, установленной органом исполнительной власти субъекта Российской Федерации в области государственного регулирования тарифов, за счет средств бюджета субъекта Российской Федерации.</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Указанные в </w:t>
      </w:r>
      <w:hyperlink r:id="rId30" w:anchor="dst617" w:history="1">
        <w:r w:rsidRPr="008274F6">
          <w:rPr>
            <w:rFonts w:ascii="Times New Roman" w:eastAsia="Times New Roman" w:hAnsi="Times New Roman" w:cs="Times New Roman"/>
            <w:color w:val="1A0DAB"/>
            <w:u w:val="single"/>
            <w:lang w:eastAsia="ru-RU"/>
          </w:rPr>
          <w:t>абзаце шестом</w:t>
        </w:r>
      </w:hyperlink>
      <w:r w:rsidRPr="008274F6">
        <w:rPr>
          <w:rFonts w:ascii="Times New Roman" w:eastAsia="Times New Roman" w:hAnsi="Times New Roman" w:cs="Times New Roman"/>
          <w:color w:val="000000"/>
          <w:lang w:eastAsia="ru-RU"/>
        </w:rPr>
        <w:t>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w:t>
      </w:r>
      <w:hyperlink r:id="rId31" w:anchor="dst100009" w:history="1">
        <w:r w:rsidRPr="008274F6">
          <w:rPr>
            <w:rFonts w:ascii="Times New Roman" w:eastAsia="Times New Roman" w:hAnsi="Times New Roman" w:cs="Times New Roman"/>
            <w:color w:val="1A0DAB"/>
            <w:u w:val="single"/>
            <w:lang w:eastAsia="ru-RU"/>
          </w:rPr>
          <w:t>критериям</w:t>
        </w:r>
      </w:hyperlink>
      <w:r w:rsidRPr="008274F6">
        <w:rPr>
          <w:rFonts w:ascii="Times New Roman" w:eastAsia="Times New Roman" w:hAnsi="Times New Roman" w:cs="Times New Roman"/>
          <w:color w:val="000000"/>
          <w:lang w:eastAsia="ru-RU"/>
        </w:rPr>
        <w:t> отнесения к единой национальной (общероссийской) электрической сети.</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828282"/>
          <w:lang w:eastAsia="ru-RU"/>
        </w:rPr>
      </w:pPr>
      <w:r w:rsidRPr="008274F6">
        <w:rPr>
          <w:rFonts w:ascii="Times New Roman" w:eastAsia="Times New Roman" w:hAnsi="Times New Roman" w:cs="Times New Roman"/>
          <w:color w:val="828282"/>
          <w:lang w:eastAsia="ru-RU"/>
        </w:rPr>
        <w:t>(п. 2 в ред. Федерального </w:t>
      </w:r>
      <w:hyperlink r:id="rId32" w:anchor="dst100009" w:history="1">
        <w:r w:rsidRPr="008274F6">
          <w:rPr>
            <w:rFonts w:ascii="Times New Roman" w:eastAsia="Times New Roman" w:hAnsi="Times New Roman" w:cs="Times New Roman"/>
            <w:color w:val="1A0DAB"/>
            <w:lang w:eastAsia="ru-RU"/>
          </w:rPr>
          <w:t>закона</w:t>
        </w:r>
      </w:hyperlink>
      <w:r w:rsidRPr="008274F6">
        <w:rPr>
          <w:rFonts w:ascii="Times New Roman" w:eastAsia="Times New Roman" w:hAnsi="Times New Roman" w:cs="Times New Roman"/>
          <w:color w:val="828282"/>
          <w:lang w:eastAsia="ru-RU"/>
        </w:rPr>
        <w:t> от 16.02.2022 N 12-ФЗ)</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828282"/>
          <w:lang w:eastAsia="ru-RU"/>
        </w:rPr>
      </w:pPr>
      <w:r w:rsidRPr="008274F6">
        <w:rPr>
          <w:rFonts w:ascii="Times New Roman" w:eastAsia="Times New Roman" w:hAnsi="Times New Roman" w:cs="Times New Roman"/>
          <w:color w:val="828282"/>
          <w:lang w:eastAsia="ru-RU"/>
        </w:rPr>
        <w:t>(см. текст в предыдущей </w:t>
      </w:r>
      <w:hyperlink r:id="rId33" w:history="1">
        <w:r w:rsidRPr="008274F6">
          <w:rPr>
            <w:rFonts w:ascii="Times New Roman" w:eastAsia="Times New Roman" w:hAnsi="Times New Roman" w:cs="Times New Roman"/>
            <w:color w:val="1A0DAB"/>
            <w:lang w:eastAsia="ru-RU"/>
          </w:rPr>
          <w:t>редакции</w:t>
        </w:r>
      </w:hyperlink>
      <w:r w:rsidRPr="008274F6">
        <w:rPr>
          <w:rFonts w:ascii="Times New Roman" w:eastAsia="Times New Roman" w:hAnsi="Times New Roman" w:cs="Times New Roman"/>
          <w:color w:val="828282"/>
          <w:lang w:eastAsia="ru-RU"/>
        </w:rPr>
        <w:t>)</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3. Расходы сетевой организации, понесенные ею для исполнения обязательств, предусмотренных </w:t>
      </w:r>
      <w:hyperlink r:id="rId34" w:anchor="dst358" w:history="1">
        <w:r w:rsidRPr="008274F6">
          <w:rPr>
            <w:rFonts w:ascii="Times New Roman" w:eastAsia="Times New Roman" w:hAnsi="Times New Roman" w:cs="Times New Roman"/>
            <w:color w:val="1A0DAB"/>
            <w:u w:val="single"/>
            <w:lang w:eastAsia="ru-RU"/>
          </w:rPr>
          <w:t>пунктом 5 статьи 37</w:t>
        </w:r>
      </w:hyperlink>
      <w:r w:rsidRPr="008274F6">
        <w:rPr>
          <w:rFonts w:ascii="Times New Roman" w:eastAsia="Times New Roman" w:hAnsi="Times New Roman" w:cs="Times New Roman"/>
          <w:color w:val="000000"/>
          <w:lang w:eastAsia="ru-RU"/>
        </w:rPr>
        <w:t> настоящего Федерального закона, подлежат включению в состав тарифа на услуги по передаче электрической энергии и (или) платы за технологическое присоединение в соответствии с законодательством Российской Федерации об электроэнергетике.</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Расходы сетевой организации, понесенные ею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r:id="rId35" w:anchor="dst358" w:history="1">
        <w:r w:rsidRPr="008274F6">
          <w:rPr>
            <w:rFonts w:ascii="Times New Roman" w:eastAsia="Times New Roman" w:hAnsi="Times New Roman" w:cs="Times New Roman"/>
            <w:color w:val="1A0DAB"/>
            <w:u w:val="single"/>
            <w:lang w:eastAsia="ru-RU"/>
          </w:rPr>
          <w:t>пункте 5 статьи 37</w:t>
        </w:r>
      </w:hyperlink>
      <w:r w:rsidRPr="008274F6">
        <w:rPr>
          <w:rFonts w:ascii="Times New Roman" w:eastAsia="Times New Roman" w:hAnsi="Times New Roman" w:cs="Times New Roman"/>
          <w:color w:val="000000"/>
          <w:lang w:eastAsia="ru-RU"/>
        </w:rPr>
        <w:t>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достигнутой сетевой организацией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(поставке) и иных операционных расходов.</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 xml:space="preserve">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сетевой организации при установлении тарифа на услуги по передаче электрической энергии, может быть использована сетевыми организациями для выплат по </w:t>
      </w:r>
      <w:proofErr w:type="spellStart"/>
      <w:r w:rsidRPr="008274F6">
        <w:rPr>
          <w:rFonts w:ascii="Times New Roman" w:eastAsia="Times New Roman" w:hAnsi="Times New Roman" w:cs="Times New Roman"/>
          <w:color w:val="000000"/>
          <w:lang w:eastAsia="ru-RU"/>
        </w:rPr>
        <w:t>энергосервисным</w:t>
      </w:r>
      <w:proofErr w:type="spellEnd"/>
      <w:r w:rsidRPr="008274F6">
        <w:rPr>
          <w:rFonts w:ascii="Times New Roman" w:eastAsia="Times New Roman" w:hAnsi="Times New Roman" w:cs="Times New Roman"/>
          <w:color w:val="000000"/>
          <w:lang w:eastAsia="ru-RU"/>
        </w:rPr>
        <w:t xml:space="preserve">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828282"/>
          <w:lang w:eastAsia="ru-RU"/>
        </w:rPr>
      </w:pPr>
      <w:r w:rsidRPr="008274F6">
        <w:rPr>
          <w:rFonts w:ascii="Times New Roman" w:eastAsia="Times New Roman" w:hAnsi="Times New Roman" w:cs="Times New Roman"/>
          <w:color w:val="828282"/>
          <w:lang w:eastAsia="ru-RU"/>
        </w:rPr>
        <w:t>(п. 3 введен Федеральным </w:t>
      </w:r>
      <w:hyperlink r:id="rId36" w:anchor="dst100024" w:history="1">
        <w:r w:rsidRPr="008274F6">
          <w:rPr>
            <w:rFonts w:ascii="Times New Roman" w:eastAsia="Times New Roman" w:hAnsi="Times New Roman" w:cs="Times New Roman"/>
            <w:color w:val="1A0DAB"/>
            <w:lang w:eastAsia="ru-RU"/>
          </w:rPr>
          <w:t>законом</w:t>
        </w:r>
      </w:hyperlink>
      <w:r w:rsidRPr="008274F6">
        <w:rPr>
          <w:rFonts w:ascii="Times New Roman" w:eastAsia="Times New Roman" w:hAnsi="Times New Roman" w:cs="Times New Roman"/>
          <w:color w:val="828282"/>
          <w:lang w:eastAsia="ru-RU"/>
        </w:rPr>
        <w:t> от 27.12.2018 N 522-ФЗ)</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4. Плата за реализацию сетевой организацией мероприятий по обеспечению вывода из эксплуатации объекта по производству электрической энергии (мощности) устанавливается федеральным органом исполнительной власти в области регулирования тарифов в отношении организации по управлению единой национальной (общероссийской) электрической сетью и органами исполнительной власти субъектов Российской Федерации в области государственного регулирования тарифов в отношении территориальных сетевых организаций.</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Размер указанной платы определяется в соответствии с </w:t>
      </w:r>
      <w:hyperlink r:id="rId37" w:anchor="dst100010" w:history="1">
        <w:r w:rsidRPr="008274F6">
          <w:rPr>
            <w:rFonts w:ascii="Times New Roman" w:eastAsia="Times New Roman" w:hAnsi="Times New Roman" w:cs="Times New Roman"/>
            <w:color w:val="1A0DAB"/>
            <w:u w:val="single"/>
            <w:lang w:eastAsia="ru-RU"/>
          </w:rPr>
          <w:t>порядком</w:t>
        </w:r>
      </w:hyperlink>
      <w:r w:rsidRPr="008274F6">
        <w:rPr>
          <w:rFonts w:ascii="Times New Roman" w:eastAsia="Times New Roman" w:hAnsi="Times New Roman" w:cs="Times New Roman"/>
          <w:color w:val="000000"/>
          <w:lang w:eastAsia="ru-RU"/>
        </w:rPr>
        <w:t>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утверждаемым федеральным органом исполнительной власти в области регулирования тарифов в соответствии с </w:t>
      </w:r>
      <w:hyperlink r:id="rId38" w:anchor="dst1273" w:history="1">
        <w:r w:rsidRPr="008274F6">
          <w:rPr>
            <w:rFonts w:ascii="Times New Roman" w:eastAsia="Times New Roman" w:hAnsi="Times New Roman" w:cs="Times New Roman"/>
            <w:color w:val="1A0DAB"/>
            <w:u w:val="single"/>
            <w:lang w:eastAsia="ru-RU"/>
          </w:rPr>
          <w:t>основами</w:t>
        </w:r>
      </w:hyperlink>
      <w:r w:rsidRPr="008274F6">
        <w:rPr>
          <w:rFonts w:ascii="Times New Roman" w:eastAsia="Times New Roman" w:hAnsi="Times New Roman" w:cs="Times New Roman"/>
          <w:color w:val="000000"/>
          <w:lang w:eastAsia="ru-RU"/>
        </w:rPr>
        <w:t> ценообразования в области регулируемых цен (тарифов) в электроэнергетике, исходя из экономически обоснованных затрат на выполнение мероприятий, подлежащих реализации сетевой организацией по договору о реализации мероприятий по обеспечению вывода из эксплуатации объекта по производству электрической энергии (мощности), включая проектирование, строительство, реконструкцию, модернизацию и (или) техническое перевооружение объектов электросетевого хозяйства.</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не включаются учитываемые при установлении тарифов на услуги по передаче электрической энергии расходы на выполнение мероприятий, включенных в инвестиционную программу этой сетевой организации либо иных сетевых организаций.</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Лицо, обратившееся к сетевой организации для заключения договора о реализации мероприятий по обеспечению вывода из эксплуатации объекта по производству электрической энергии (мощности) или заключившее такой договор, вправе обратиться в органы государственного регулирования цен (тарифов) для урегулирования споров, связанных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 в </w:t>
      </w:r>
      <w:hyperlink r:id="rId39" w:anchor="dst9" w:history="1">
        <w:r w:rsidRPr="008274F6">
          <w:rPr>
            <w:rFonts w:ascii="Times New Roman" w:eastAsia="Times New Roman" w:hAnsi="Times New Roman" w:cs="Times New Roman"/>
            <w:color w:val="1A0DAB"/>
            <w:u w:val="single"/>
            <w:lang w:eastAsia="ru-RU"/>
          </w:rPr>
          <w:t>порядке</w:t>
        </w:r>
      </w:hyperlink>
      <w:r w:rsidRPr="008274F6">
        <w:rPr>
          <w:rFonts w:ascii="Times New Roman" w:eastAsia="Times New Roman" w:hAnsi="Times New Roman" w:cs="Times New Roman"/>
          <w:color w:val="000000"/>
          <w:lang w:eastAsia="ru-RU"/>
        </w:rPr>
        <w:t>, установленном Правительством Российской Федерации.</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828282"/>
          <w:lang w:eastAsia="ru-RU"/>
        </w:rPr>
      </w:pPr>
      <w:r w:rsidRPr="008274F6">
        <w:rPr>
          <w:rFonts w:ascii="Times New Roman" w:eastAsia="Times New Roman" w:hAnsi="Times New Roman" w:cs="Times New Roman"/>
          <w:color w:val="828282"/>
          <w:lang w:eastAsia="ru-RU"/>
        </w:rPr>
        <w:t>(п. 4 введен Федеральным </w:t>
      </w:r>
      <w:hyperlink r:id="rId40" w:anchor="dst100029" w:history="1">
        <w:r w:rsidRPr="008274F6">
          <w:rPr>
            <w:rFonts w:ascii="Times New Roman" w:eastAsia="Times New Roman" w:hAnsi="Times New Roman" w:cs="Times New Roman"/>
            <w:color w:val="1A0DAB"/>
            <w:lang w:eastAsia="ru-RU"/>
          </w:rPr>
          <w:t>законом</w:t>
        </w:r>
      </w:hyperlink>
      <w:r w:rsidRPr="008274F6">
        <w:rPr>
          <w:rFonts w:ascii="Times New Roman" w:eastAsia="Times New Roman" w:hAnsi="Times New Roman" w:cs="Times New Roman"/>
          <w:color w:val="828282"/>
          <w:lang w:eastAsia="ru-RU"/>
        </w:rPr>
        <w:t> от 31.07.2020 N 281-ФЗ)</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5. При установлении цен (тарифов) на услуги по оперативно-диспетчерскому управлению в электроэнергетике в установленном Правительством Российской Федерации порядке учитываются:</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r w:rsidRPr="008274F6">
        <w:rPr>
          <w:rFonts w:ascii="Times New Roman" w:eastAsia="Times New Roman" w:hAnsi="Times New Roman" w:cs="Times New Roman"/>
          <w:color w:val="000000"/>
          <w:lang w:eastAsia="ru-RU"/>
        </w:rPr>
        <w:t>расходы на организацию осуществления системным оператором функций по проектированию развития электроэнергетических систем и осуществление таких функций;</w:t>
      </w:r>
    </w:p>
    <w:p w:rsidR="008274F6" w:rsidRPr="008274F6" w:rsidRDefault="00A039A3" w:rsidP="008274F6">
      <w:pPr>
        <w:shd w:val="clear" w:color="auto" w:fill="FFFFFF"/>
        <w:spacing w:after="0" w:line="240" w:lineRule="auto"/>
        <w:ind w:firstLine="709"/>
        <w:jc w:val="both"/>
        <w:rPr>
          <w:rFonts w:ascii="Times New Roman" w:eastAsia="Times New Roman" w:hAnsi="Times New Roman" w:cs="Times New Roman"/>
          <w:color w:val="000000"/>
          <w:lang w:eastAsia="ru-RU"/>
        </w:rPr>
      </w:pPr>
      <w:hyperlink r:id="rId41" w:anchor="dst101756" w:history="1">
        <w:r w:rsidR="008274F6" w:rsidRPr="008274F6">
          <w:rPr>
            <w:rFonts w:ascii="Times New Roman" w:eastAsia="Times New Roman" w:hAnsi="Times New Roman" w:cs="Times New Roman"/>
            <w:color w:val="1A0DAB"/>
            <w:u w:val="single"/>
            <w:lang w:eastAsia="ru-RU"/>
          </w:rPr>
          <w:t>расходы</w:t>
        </w:r>
      </w:hyperlink>
      <w:r w:rsidR="008274F6" w:rsidRPr="008274F6">
        <w:rPr>
          <w:rFonts w:ascii="Times New Roman" w:eastAsia="Times New Roman" w:hAnsi="Times New Roman" w:cs="Times New Roman"/>
          <w:color w:val="000000"/>
          <w:lang w:eastAsia="ru-RU"/>
        </w:rPr>
        <w:t>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rsidR="008274F6" w:rsidRPr="008274F6" w:rsidRDefault="008274F6" w:rsidP="008274F6">
      <w:pPr>
        <w:shd w:val="clear" w:color="auto" w:fill="FFFFFF"/>
        <w:spacing w:after="0" w:line="240" w:lineRule="auto"/>
        <w:ind w:firstLine="709"/>
        <w:jc w:val="both"/>
        <w:rPr>
          <w:rFonts w:ascii="Times New Roman" w:eastAsia="Times New Roman" w:hAnsi="Times New Roman" w:cs="Times New Roman"/>
          <w:color w:val="828282"/>
          <w:lang w:eastAsia="ru-RU"/>
        </w:rPr>
      </w:pPr>
      <w:r w:rsidRPr="008274F6">
        <w:rPr>
          <w:rFonts w:ascii="Times New Roman" w:eastAsia="Times New Roman" w:hAnsi="Times New Roman" w:cs="Times New Roman"/>
          <w:color w:val="828282"/>
          <w:lang w:eastAsia="ru-RU"/>
        </w:rPr>
        <w:t>(п. 5 введен Федеральным </w:t>
      </w:r>
      <w:hyperlink r:id="rId42" w:anchor="dst100184" w:history="1">
        <w:r w:rsidRPr="008274F6">
          <w:rPr>
            <w:rFonts w:ascii="Times New Roman" w:eastAsia="Times New Roman" w:hAnsi="Times New Roman" w:cs="Times New Roman"/>
            <w:color w:val="1A0DAB"/>
            <w:lang w:eastAsia="ru-RU"/>
          </w:rPr>
          <w:t>законом</w:t>
        </w:r>
      </w:hyperlink>
      <w:r w:rsidRPr="008274F6">
        <w:rPr>
          <w:rFonts w:ascii="Times New Roman" w:eastAsia="Times New Roman" w:hAnsi="Times New Roman" w:cs="Times New Roman"/>
          <w:color w:val="828282"/>
          <w:lang w:eastAsia="ru-RU"/>
        </w:rPr>
        <w:t> от 11.06.2022 N 174-ФЗ)</w:t>
      </w:r>
    </w:p>
    <w:p w:rsidR="002C5A61" w:rsidRPr="008274F6" w:rsidRDefault="002C5A61" w:rsidP="008274F6">
      <w:pPr>
        <w:spacing w:after="0" w:line="240" w:lineRule="auto"/>
        <w:ind w:firstLine="709"/>
        <w:jc w:val="both"/>
        <w:rPr>
          <w:rFonts w:ascii="Times New Roman" w:hAnsi="Times New Roman" w:cs="Times New Roman"/>
        </w:rPr>
      </w:pPr>
    </w:p>
    <w:sectPr w:rsidR="002C5A61" w:rsidRPr="008274F6" w:rsidSect="008274F6">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4F6"/>
    <w:rsid w:val="002C5A61"/>
    <w:rsid w:val="008274F6"/>
    <w:rsid w:val="009A4283"/>
    <w:rsid w:val="00A03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89245-F092-47D2-876A-CD754CA0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274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74F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274F6"/>
    <w:rPr>
      <w:color w:val="0000FF"/>
      <w:u w:val="single"/>
    </w:rPr>
  </w:style>
  <w:style w:type="paragraph" w:styleId="a4">
    <w:name w:val="Normal (Web)"/>
    <w:basedOn w:val="a"/>
    <w:uiPriority w:val="99"/>
    <w:semiHidden/>
    <w:unhideWhenUsed/>
    <w:rsid w:val="00827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8274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rollbutton-text">
    <w:name w:val="doc-roll__button-text"/>
    <w:basedOn w:val="a0"/>
    <w:rsid w:val="008274F6"/>
  </w:style>
  <w:style w:type="paragraph" w:styleId="a5">
    <w:name w:val="Balloon Text"/>
    <w:basedOn w:val="a"/>
    <w:link w:val="a6"/>
    <w:uiPriority w:val="99"/>
    <w:semiHidden/>
    <w:unhideWhenUsed/>
    <w:rsid w:val="008274F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274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37141">
      <w:bodyDiv w:val="1"/>
      <w:marLeft w:val="0"/>
      <w:marRight w:val="0"/>
      <w:marTop w:val="0"/>
      <w:marBottom w:val="0"/>
      <w:divBdr>
        <w:top w:val="none" w:sz="0" w:space="0" w:color="auto"/>
        <w:left w:val="none" w:sz="0" w:space="0" w:color="auto"/>
        <w:bottom w:val="none" w:sz="0" w:space="0" w:color="auto"/>
        <w:right w:val="none" w:sz="0" w:space="0" w:color="auto"/>
      </w:divBdr>
      <w:divsChild>
        <w:div w:id="1857958420">
          <w:marLeft w:val="0"/>
          <w:marRight w:val="0"/>
          <w:marTop w:val="0"/>
          <w:marBottom w:val="600"/>
          <w:divBdr>
            <w:top w:val="none" w:sz="0" w:space="0" w:color="auto"/>
            <w:left w:val="none" w:sz="0" w:space="0" w:color="auto"/>
            <w:bottom w:val="none" w:sz="0" w:space="0" w:color="auto"/>
            <w:right w:val="none" w:sz="0" w:space="0" w:color="auto"/>
          </w:divBdr>
        </w:div>
        <w:div w:id="1929188244">
          <w:marLeft w:val="0"/>
          <w:marRight w:val="0"/>
          <w:marTop w:val="0"/>
          <w:marBottom w:val="0"/>
          <w:divBdr>
            <w:top w:val="none" w:sz="0" w:space="0" w:color="auto"/>
            <w:left w:val="none" w:sz="0" w:space="0" w:color="auto"/>
            <w:bottom w:val="none" w:sz="0" w:space="0" w:color="auto"/>
            <w:right w:val="none" w:sz="0" w:space="0" w:color="auto"/>
          </w:divBdr>
          <w:divsChild>
            <w:div w:id="1050498606">
              <w:marLeft w:val="0"/>
              <w:marRight w:val="0"/>
              <w:marTop w:val="0"/>
              <w:marBottom w:val="0"/>
              <w:divBdr>
                <w:top w:val="none" w:sz="0" w:space="0" w:color="auto"/>
                <w:left w:val="none" w:sz="0" w:space="0" w:color="auto"/>
                <w:bottom w:val="none" w:sz="0" w:space="0" w:color="auto"/>
                <w:right w:val="none" w:sz="0" w:space="0" w:color="auto"/>
              </w:divBdr>
            </w:div>
            <w:div w:id="1192065133">
              <w:marLeft w:val="0"/>
              <w:marRight w:val="0"/>
              <w:marTop w:val="210"/>
              <w:marBottom w:val="0"/>
              <w:divBdr>
                <w:top w:val="none" w:sz="0" w:space="0" w:color="auto"/>
                <w:left w:val="none" w:sz="0" w:space="0" w:color="auto"/>
                <w:bottom w:val="none" w:sz="0" w:space="0" w:color="auto"/>
                <w:right w:val="none" w:sz="0" w:space="0" w:color="auto"/>
              </w:divBdr>
            </w:div>
            <w:div w:id="320083352">
              <w:marLeft w:val="0"/>
              <w:marRight w:val="0"/>
              <w:marTop w:val="0"/>
              <w:marBottom w:val="0"/>
              <w:divBdr>
                <w:top w:val="none" w:sz="0" w:space="0" w:color="auto"/>
                <w:left w:val="none" w:sz="0" w:space="0" w:color="auto"/>
                <w:bottom w:val="none" w:sz="0" w:space="0" w:color="auto"/>
                <w:right w:val="none" w:sz="0" w:space="0" w:color="auto"/>
              </w:divBdr>
            </w:div>
            <w:div w:id="1908418483">
              <w:marLeft w:val="0"/>
              <w:marRight w:val="0"/>
              <w:marTop w:val="210"/>
              <w:marBottom w:val="0"/>
              <w:divBdr>
                <w:top w:val="none" w:sz="0" w:space="0" w:color="auto"/>
                <w:left w:val="none" w:sz="0" w:space="0" w:color="auto"/>
                <w:bottom w:val="none" w:sz="0" w:space="0" w:color="auto"/>
                <w:right w:val="none" w:sz="0" w:space="0" w:color="auto"/>
              </w:divBdr>
            </w:div>
            <w:div w:id="1850949545">
              <w:marLeft w:val="0"/>
              <w:marRight w:val="0"/>
              <w:marTop w:val="360"/>
              <w:marBottom w:val="0"/>
              <w:divBdr>
                <w:top w:val="none" w:sz="0" w:space="0" w:color="auto"/>
                <w:left w:val="none" w:sz="0" w:space="0" w:color="auto"/>
                <w:bottom w:val="none" w:sz="0" w:space="0" w:color="auto"/>
                <w:right w:val="none" w:sz="0" w:space="0" w:color="auto"/>
              </w:divBdr>
              <w:divsChild>
                <w:div w:id="110322598">
                  <w:marLeft w:val="0"/>
                  <w:marRight w:val="0"/>
                  <w:marTop w:val="0"/>
                  <w:marBottom w:val="0"/>
                  <w:divBdr>
                    <w:top w:val="none" w:sz="0" w:space="0" w:color="auto"/>
                    <w:left w:val="none" w:sz="0" w:space="0" w:color="auto"/>
                    <w:bottom w:val="none" w:sz="0" w:space="0" w:color="auto"/>
                    <w:right w:val="none" w:sz="0" w:space="0" w:color="auto"/>
                  </w:divBdr>
                  <w:divsChild>
                    <w:div w:id="809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84726">
              <w:marLeft w:val="0"/>
              <w:marRight w:val="0"/>
              <w:marTop w:val="0"/>
              <w:marBottom w:val="0"/>
              <w:divBdr>
                <w:top w:val="none" w:sz="0" w:space="0" w:color="auto"/>
                <w:left w:val="none" w:sz="0" w:space="0" w:color="auto"/>
                <w:bottom w:val="none" w:sz="0" w:space="0" w:color="auto"/>
                <w:right w:val="none" w:sz="0" w:space="0" w:color="auto"/>
              </w:divBdr>
            </w:div>
            <w:div w:id="1700473725">
              <w:marLeft w:val="0"/>
              <w:marRight w:val="0"/>
              <w:marTop w:val="0"/>
              <w:marBottom w:val="0"/>
              <w:divBdr>
                <w:top w:val="none" w:sz="0" w:space="0" w:color="auto"/>
                <w:left w:val="none" w:sz="0" w:space="0" w:color="auto"/>
                <w:bottom w:val="none" w:sz="0" w:space="0" w:color="auto"/>
                <w:right w:val="none" w:sz="0" w:space="0" w:color="auto"/>
              </w:divBdr>
            </w:div>
            <w:div w:id="2083670688">
              <w:marLeft w:val="0"/>
              <w:marRight w:val="0"/>
              <w:marTop w:val="0"/>
              <w:marBottom w:val="0"/>
              <w:divBdr>
                <w:top w:val="none" w:sz="0" w:space="0" w:color="auto"/>
                <w:left w:val="none" w:sz="0" w:space="0" w:color="auto"/>
                <w:bottom w:val="none" w:sz="0" w:space="0" w:color="auto"/>
                <w:right w:val="none" w:sz="0" w:space="0" w:color="auto"/>
              </w:divBdr>
            </w:div>
            <w:div w:id="1879583768">
              <w:marLeft w:val="0"/>
              <w:marRight w:val="0"/>
              <w:marTop w:val="0"/>
              <w:marBottom w:val="0"/>
              <w:divBdr>
                <w:top w:val="none" w:sz="0" w:space="0" w:color="auto"/>
                <w:left w:val="none" w:sz="0" w:space="0" w:color="auto"/>
                <w:bottom w:val="none" w:sz="0" w:space="0" w:color="auto"/>
                <w:right w:val="none" w:sz="0" w:space="0" w:color="auto"/>
              </w:divBdr>
            </w:div>
            <w:div w:id="404108553">
              <w:marLeft w:val="0"/>
              <w:marRight w:val="0"/>
              <w:marTop w:val="0"/>
              <w:marBottom w:val="0"/>
              <w:divBdr>
                <w:top w:val="none" w:sz="0" w:space="0" w:color="auto"/>
                <w:left w:val="none" w:sz="0" w:space="0" w:color="auto"/>
                <w:bottom w:val="none" w:sz="0" w:space="0" w:color="auto"/>
                <w:right w:val="none" w:sz="0" w:space="0" w:color="auto"/>
              </w:divBdr>
            </w:div>
            <w:div w:id="787119066">
              <w:marLeft w:val="0"/>
              <w:marRight w:val="0"/>
              <w:marTop w:val="0"/>
              <w:marBottom w:val="0"/>
              <w:divBdr>
                <w:top w:val="none" w:sz="0" w:space="0" w:color="auto"/>
                <w:left w:val="none" w:sz="0" w:space="0" w:color="auto"/>
                <w:bottom w:val="none" w:sz="0" w:space="0" w:color="auto"/>
                <w:right w:val="none" w:sz="0" w:space="0" w:color="auto"/>
              </w:divBdr>
            </w:div>
            <w:div w:id="35006285">
              <w:marLeft w:val="0"/>
              <w:marRight w:val="0"/>
              <w:marTop w:val="0"/>
              <w:marBottom w:val="0"/>
              <w:divBdr>
                <w:top w:val="none" w:sz="0" w:space="0" w:color="auto"/>
                <w:left w:val="none" w:sz="0" w:space="0" w:color="auto"/>
                <w:bottom w:val="none" w:sz="0" w:space="0" w:color="auto"/>
                <w:right w:val="none" w:sz="0" w:space="0" w:color="auto"/>
              </w:divBdr>
            </w:div>
            <w:div w:id="1332874610">
              <w:marLeft w:val="0"/>
              <w:marRight w:val="0"/>
              <w:marTop w:val="0"/>
              <w:marBottom w:val="0"/>
              <w:divBdr>
                <w:top w:val="none" w:sz="0" w:space="0" w:color="auto"/>
                <w:left w:val="none" w:sz="0" w:space="0" w:color="auto"/>
                <w:bottom w:val="none" w:sz="0" w:space="0" w:color="auto"/>
                <w:right w:val="none" w:sz="0" w:space="0" w:color="auto"/>
              </w:divBdr>
            </w:div>
            <w:div w:id="1374426805">
              <w:marLeft w:val="0"/>
              <w:marRight w:val="0"/>
              <w:marTop w:val="0"/>
              <w:marBottom w:val="0"/>
              <w:divBdr>
                <w:top w:val="none" w:sz="0" w:space="0" w:color="auto"/>
                <w:left w:val="none" w:sz="0" w:space="0" w:color="auto"/>
                <w:bottom w:val="none" w:sz="0" w:space="0" w:color="auto"/>
                <w:right w:val="none" w:sz="0" w:space="0" w:color="auto"/>
              </w:divBdr>
            </w:div>
            <w:div w:id="9437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61120/27e99ace90d23dee27a427a8c15fc39bcd8c3838/" TargetMode="External"/><Relationship Id="rId18" Type="http://schemas.openxmlformats.org/officeDocument/2006/relationships/hyperlink" Target="https://www.consultant.ru/document/cons_doc_LAW_456129/df02e22d91ce93df8501accc1803fd8c31e82524/" TargetMode="External"/><Relationship Id="rId26" Type="http://schemas.openxmlformats.org/officeDocument/2006/relationships/hyperlink" Target="https://www.consultant.ru/document/cons_doc_LAW_41502/67e460ce6b265887c0abc0d271af640a3bd51a13/?ysclid=lp7l4t894a716792113" TargetMode="External"/><Relationship Id="rId39" Type="http://schemas.openxmlformats.org/officeDocument/2006/relationships/hyperlink" Target="https://www.consultant.ru/document/cons_doc_LAW_405853/8ae3ef79c63ed3567b08cb56396ffefe3d2b6ba9/" TargetMode="External"/><Relationship Id="rId21" Type="http://schemas.openxmlformats.org/officeDocument/2006/relationships/hyperlink" Target="https://www.consultant.ru/document/cons_doc_LAW_154056/3d0cac60971a511280cbba229d9b6329c07731f7/" TargetMode="External"/><Relationship Id="rId34" Type="http://schemas.openxmlformats.org/officeDocument/2006/relationships/hyperlink" Target="https://www.consultant.ru/document/cons_doc_LAW_461120/05be77b2da69bfd16e22aa8256716ca4153c6e49/" TargetMode="External"/><Relationship Id="rId42" Type="http://schemas.openxmlformats.org/officeDocument/2006/relationships/hyperlink" Target="https://www.consultant.ru/document/cons_doc_LAW_461107/3d0cac60971a511280cbba229d9b6329c07731f7/" TargetMode="External"/><Relationship Id="rId7" Type="http://schemas.openxmlformats.org/officeDocument/2006/relationships/hyperlink" Target="https://www.consultant.ru/document/cons_doc_LAW_387212/" TargetMode="External"/><Relationship Id="rId2" Type="http://schemas.openxmlformats.org/officeDocument/2006/relationships/settings" Target="settings.xml"/><Relationship Id="rId16" Type="http://schemas.openxmlformats.org/officeDocument/2006/relationships/hyperlink" Target="https://www.consultant.ru/document/cons_doc_LAW_461120/27e99ace90d23dee27a427a8c15fc39bcd8c3838/" TargetMode="External"/><Relationship Id="rId20" Type="http://schemas.openxmlformats.org/officeDocument/2006/relationships/hyperlink" Target="https://www.consultant.ru/document/cons_doc_LAW_461120/27e99ace90d23dee27a427a8c15fc39bcd8c3838/" TargetMode="External"/><Relationship Id="rId29" Type="http://schemas.openxmlformats.org/officeDocument/2006/relationships/hyperlink" Target="https://www.consultant.ru/document/cons_doc_LAW_456129/847dc84177f26df9a5d8d4b61f20fbea833f38fa/" TargetMode="External"/><Relationship Id="rId41" Type="http://schemas.openxmlformats.org/officeDocument/2006/relationships/hyperlink" Target="https://www.consultant.ru/document/cons_doc_LAW_456129/493c3737ce9531f76d8ca0ddd094d5aa37fedb56/" TargetMode="External"/><Relationship Id="rId1" Type="http://schemas.openxmlformats.org/officeDocument/2006/relationships/styles" Target="styles.xml"/><Relationship Id="rId6" Type="http://schemas.openxmlformats.org/officeDocument/2006/relationships/hyperlink" Target="https://www.consultant.ru/document/cons_doc_LAW_173003/3d0cac60971a511280cbba229d9b6329c07731f7/" TargetMode="External"/><Relationship Id="rId11" Type="http://schemas.openxmlformats.org/officeDocument/2006/relationships/hyperlink" Target="https://www.consultant.ru/document/cons_doc_LAW_461120/27e99ace90d23dee27a427a8c15fc39bcd8c3838/" TargetMode="External"/><Relationship Id="rId24" Type="http://schemas.openxmlformats.org/officeDocument/2006/relationships/hyperlink" Target="https://www.consultant.ru/document/cons_doc_LAW_456129/df02e22d91ce93df8501accc1803fd8c31e82524/" TargetMode="External"/><Relationship Id="rId32" Type="http://schemas.openxmlformats.org/officeDocument/2006/relationships/hyperlink" Target="https://www.consultant.ru/document/cons_doc_LAW_409584/3d0cac60971a511280cbba229d9b6329c07731f7/" TargetMode="External"/><Relationship Id="rId37" Type="http://schemas.openxmlformats.org/officeDocument/2006/relationships/hyperlink" Target="https://www.consultant.ru/document/cons_doc_LAW_394427/3965529e1f5f868a33df98e72802c95197d0d485/" TargetMode="External"/><Relationship Id="rId40" Type="http://schemas.openxmlformats.org/officeDocument/2006/relationships/hyperlink" Target="https://www.consultant.ru/document/cons_doc_LAW_358754/3d0cac60971a511280cbba229d9b6329c07731f7/" TargetMode="External"/><Relationship Id="rId5" Type="http://schemas.openxmlformats.org/officeDocument/2006/relationships/hyperlink" Target="https://www.consultant.ru/document/cons_doc_LAW_41502/67e460ce6b265887c0abc0d271af640a3bd51a13/?ysclid=lp7l4t894a716792113" TargetMode="External"/><Relationship Id="rId15" Type="http://schemas.openxmlformats.org/officeDocument/2006/relationships/hyperlink" Target="https://www.consultant.ru/document/cons_doc_LAW_461120/67e460ce6b265887c0abc0d271af640a3bd51a13/" TargetMode="External"/><Relationship Id="rId23" Type="http://schemas.openxmlformats.org/officeDocument/2006/relationships/hyperlink" Target="https://www.consultant.ru/document/cons_doc_LAW_461120/67e460ce6b265887c0abc0d271af640a3bd51a13/" TargetMode="External"/><Relationship Id="rId28" Type="http://schemas.openxmlformats.org/officeDocument/2006/relationships/hyperlink" Target="https://www.consultant.ru/document/cons_doc_LAW_461120/67e460ce6b265887c0abc0d271af640a3bd51a13/" TargetMode="External"/><Relationship Id="rId36" Type="http://schemas.openxmlformats.org/officeDocument/2006/relationships/hyperlink" Target="https://www.consultant.ru/document/cons_doc_LAW_314661/3d0cac60971a511280cbba229d9b6329c07731f7/" TargetMode="External"/><Relationship Id="rId10" Type="http://schemas.openxmlformats.org/officeDocument/2006/relationships/hyperlink" Target="https://www.consultant.ru/document/cons_doc_LAW_461120/27e99ace90d23dee27a427a8c15fc39bcd8c3838/" TargetMode="External"/><Relationship Id="rId19" Type="http://schemas.openxmlformats.org/officeDocument/2006/relationships/hyperlink" Target="https://www.consultant.ru/document/cons_doc_LAW_154056/3d0cac60971a511280cbba229d9b6329c07731f7/" TargetMode="External"/><Relationship Id="rId31" Type="http://schemas.openxmlformats.org/officeDocument/2006/relationships/hyperlink" Target="https://www.consultant.ru/document/cons_doc_LAW_448514/d6af4bad4611278a50227769621f86d48c15666a/" TargetMode="External"/><Relationship Id="rId44" Type="http://schemas.openxmlformats.org/officeDocument/2006/relationships/theme" Target="theme/theme1.xml"/><Relationship Id="rId4" Type="http://schemas.openxmlformats.org/officeDocument/2006/relationships/hyperlink" Target="https://www.consultant.ru/document/cons_doc_LAW_358754/3d0cac60971a511280cbba229d9b6329c07731f7/" TargetMode="External"/><Relationship Id="rId9" Type="http://schemas.openxmlformats.org/officeDocument/2006/relationships/hyperlink" Target="https://www.consultant.ru/document/cons_doc_LAW_41502/67e460ce6b265887c0abc0d271af640a3bd51a13/?ysclid=lp7l4t894a716792113" TargetMode="External"/><Relationship Id="rId14" Type="http://schemas.openxmlformats.org/officeDocument/2006/relationships/hyperlink" Target="https://www.consultant.ru/document/cons_doc_LAW_461120/67e460ce6b265887c0abc0d271af640a3bd51a13/" TargetMode="External"/><Relationship Id="rId22" Type="http://schemas.openxmlformats.org/officeDocument/2006/relationships/hyperlink" Target="https://www.consultant.ru/document/cons_doc_LAW_461120/67e460ce6b265887c0abc0d271af640a3bd51a13/" TargetMode="External"/><Relationship Id="rId27" Type="http://schemas.openxmlformats.org/officeDocument/2006/relationships/hyperlink" Target="https://www.consultant.ru/document/cons_doc_LAW_456129/847dc84177f26df9a5d8d4b61f20fbea833f38fa/" TargetMode="External"/><Relationship Id="rId30" Type="http://schemas.openxmlformats.org/officeDocument/2006/relationships/hyperlink" Target="https://www.consultant.ru/document/cons_doc_LAW_461120/67e460ce6b265887c0abc0d271af640a3bd51a13/" TargetMode="External"/><Relationship Id="rId35" Type="http://schemas.openxmlformats.org/officeDocument/2006/relationships/hyperlink" Target="https://www.consultant.ru/document/cons_doc_LAW_461120/05be77b2da69bfd16e22aa8256716ca4153c6e49/" TargetMode="External"/><Relationship Id="rId43" Type="http://schemas.openxmlformats.org/officeDocument/2006/relationships/fontTable" Target="fontTable.xml"/><Relationship Id="rId8" Type="http://schemas.openxmlformats.org/officeDocument/2006/relationships/hyperlink" Target="https://www.consultant.ru/document/cons_doc_LAW_154056/3d0cac60971a511280cbba229d9b6329c07731f7/" TargetMode="External"/><Relationship Id="rId3" Type="http://schemas.openxmlformats.org/officeDocument/2006/relationships/webSettings" Target="webSettings.xml"/><Relationship Id="rId12" Type="http://schemas.openxmlformats.org/officeDocument/2006/relationships/hyperlink" Target="https://www.consultant.ru/document/cons_doc_LAW_461120/27e99ace90d23dee27a427a8c15fc39bcd8c3838/" TargetMode="External"/><Relationship Id="rId17" Type="http://schemas.openxmlformats.org/officeDocument/2006/relationships/hyperlink" Target="https://www.consultant.ru/document/cons_doc_LAW_461120/27e99ace90d23dee27a427a8c15fc39bcd8c3838/" TargetMode="External"/><Relationship Id="rId25" Type="http://schemas.openxmlformats.org/officeDocument/2006/relationships/hyperlink" Target="https://www.consultant.ru/document/cons_doc_LAW_154056/3d0cac60971a511280cbba229d9b6329c07731f7/" TargetMode="External"/><Relationship Id="rId33" Type="http://schemas.openxmlformats.org/officeDocument/2006/relationships/hyperlink" Target="https://www.consultant.ru/document/cons_doc_LAW_41502/67e460ce6b265887c0abc0d271af640a3bd51a13/?ysclid=lp7l4t894a716792113" TargetMode="External"/><Relationship Id="rId38" Type="http://schemas.openxmlformats.org/officeDocument/2006/relationships/hyperlink" Target="https://www.consultant.ru/document/cons_doc_LAW_456129/aefc7b035b340c582fef5723400d130ef047ad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4032</Words>
  <Characters>22983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Тирских Наталия Валерьевна</dc:creator>
  <cp:keywords/>
  <dc:description/>
  <cp:lastModifiedBy>Кузнецова Марина Александровна</cp:lastModifiedBy>
  <cp:revision>2</cp:revision>
  <cp:lastPrinted>2023-11-21T00:26:00Z</cp:lastPrinted>
  <dcterms:created xsi:type="dcterms:W3CDTF">2026-03-10T05:41:00Z</dcterms:created>
  <dcterms:modified xsi:type="dcterms:W3CDTF">2026-03-10T05:41:00Z</dcterms:modified>
</cp:coreProperties>
</file>